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bookmarkStart w:id="0" w:name="_Toc97371945"/>
      <w:r>
        <w:rPr>
          <w:b/>
          <w:sz w:val="36"/>
          <w:szCs w:val="36"/>
        </w:rPr>
        <w:t>采购需求</w:t>
      </w:r>
      <w:bookmarkEnd w:id="0"/>
    </w:p>
    <w:p>
      <w:pPr>
        <w:spacing w:line="360" w:lineRule="auto"/>
        <w:contextualSpacing/>
        <w:rPr>
          <w:sz w:val="24"/>
        </w:rPr>
      </w:pPr>
    </w:p>
    <w:p>
      <w:pPr>
        <w:numPr>
          <w:ilvl w:val="0"/>
          <w:numId w:val="1"/>
        </w:numPr>
        <w:spacing w:line="360" w:lineRule="auto"/>
        <w:ind w:left="16" w:leftChars="-56" w:hanging="134"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采购清单</w:t>
      </w:r>
    </w:p>
    <w:tbl>
      <w:tblPr>
        <w:tblStyle w:val="11"/>
        <w:tblW w:w="8525" w:type="dxa"/>
        <w:tblInd w:w="113" w:type="dxa"/>
        <w:tblLayout w:type="fixed"/>
        <w:tblCellMar>
          <w:top w:w="0" w:type="dxa"/>
          <w:left w:w="108" w:type="dxa"/>
          <w:bottom w:w="0" w:type="dxa"/>
          <w:right w:w="108" w:type="dxa"/>
        </w:tblCellMar>
      </w:tblPr>
      <w:tblGrid>
        <w:gridCol w:w="754"/>
        <w:gridCol w:w="1980"/>
        <w:gridCol w:w="1799"/>
        <w:gridCol w:w="2507"/>
        <w:gridCol w:w="1485"/>
      </w:tblGrid>
      <w:tr>
        <w:tblPrEx>
          <w:tblCellMar>
            <w:top w:w="0" w:type="dxa"/>
            <w:left w:w="108" w:type="dxa"/>
            <w:bottom w:w="0" w:type="dxa"/>
            <w:right w:w="108" w:type="dxa"/>
          </w:tblCellMar>
        </w:tblPrEx>
        <w:trPr>
          <w:trHeight w:val="51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序号</w:t>
            </w:r>
          </w:p>
        </w:tc>
        <w:tc>
          <w:tcPr>
            <w:tcW w:w="19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货物或服务名称</w:t>
            </w:r>
          </w:p>
        </w:tc>
        <w:tc>
          <w:tcPr>
            <w:tcW w:w="17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数量</w:t>
            </w:r>
          </w:p>
        </w:tc>
        <w:tc>
          <w:tcPr>
            <w:tcW w:w="25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单位</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备注</w:t>
            </w:r>
          </w:p>
        </w:tc>
      </w:tr>
      <w:tr>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北京市政协2026年信息系统政务云基础服务采购项目</w:t>
            </w:r>
          </w:p>
        </w:tc>
        <w:tc>
          <w:tcPr>
            <w:tcW w:w="17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25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无</w:t>
            </w:r>
          </w:p>
        </w:tc>
      </w:tr>
    </w:tbl>
    <w:p>
      <w:pPr>
        <w:numPr>
          <w:ilvl w:val="0"/>
          <w:numId w:val="1"/>
        </w:numPr>
        <w:spacing w:line="360" w:lineRule="auto"/>
        <w:ind w:left="16" w:leftChars="-56" w:hanging="134"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项目背景或简况</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为贯彻落实北京市经济和信息化局关于印发《北京市市级政务云管理办法的通知》（京经信委函（2019）150号）文件的要求，中国人民政治协商会议北京市委员会办公厅现有信息系统北京市政协委员履职平台、北京市政协提案管理应用系统、北京市政协机关公文处理系统</w:t>
      </w:r>
      <w:r>
        <w:rPr>
          <w:rFonts w:hint="eastAsia" w:ascii="宋体" w:hAnsi="宋体" w:eastAsia="宋体" w:cs="宋体"/>
          <w:bCs/>
          <w:kern w:val="2"/>
          <w:sz w:val="24"/>
          <w:szCs w:val="24"/>
          <w:lang w:eastAsia="zh-CN"/>
        </w:rPr>
        <w:t>和北京市政协固定资产信息管理系统均部署在</w:t>
      </w:r>
      <w:r>
        <w:rPr>
          <w:rFonts w:hint="eastAsia" w:ascii="宋体" w:hAnsi="宋体" w:eastAsia="宋体" w:cs="宋体"/>
          <w:bCs/>
          <w:kern w:val="2"/>
          <w:sz w:val="24"/>
          <w:szCs w:val="24"/>
        </w:rPr>
        <w:t>市政务云。信息系统情况如下：</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1、北京市政协委员履职平台</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提供北京市政协委员履职工作的全流程支撑能力，包括：委员参与各类会议、活动全流程管理，委员提交社情民意全流程管理，以及提供委员各种视频会议、直播、网络议政功能以及各类资料、文件查阅的能力。</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2、北京市政协提案管理应用系统</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主要服务对象为北京市政协委员，北京市政协委员通过登录该系统实现人民政协提案的提交、查询，相关政府部门通过该系统实现人民政协提案的筛选、转交、回复等。</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3、北京市政协机关公文处理系统</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主要服务对象为北京市政协各级领导及干部。各级用户可通过登录该系统实现机关公文全部从网上流转、审批、发布。</w:t>
      </w:r>
    </w:p>
    <w:p>
      <w:pPr>
        <w:spacing w:line="360" w:lineRule="auto"/>
        <w:ind w:firstLine="480" w:firstLineChars="200"/>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4、北京市政协固定资产信息管理系统</w:t>
      </w:r>
    </w:p>
    <w:p>
      <w:pPr>
        <w:pStyle w:val="6"/>
        <w:rPr>
          <w:rFonts w:hint="eastAsia" w:ascii="宋体" w:hAnsi="宋体" w:eastAsia="宋体" w:cs="宋体"/>
          <w:sz w:val="24"/>
          <w:szCs w:val="24"/>
        </w:rPr>
      </w:pPr>
      <w:r>
        <w:rPr>
          <w:rFonts w:hint="eastAsia" w:ascii="宋体" w:hAnsi="宋体" w:eastAsia="宋体" w:cs="宋体"/>
          <w:sz w:val="24"/>
          <w:szCs w:val="24"/>
          <w:lang w:eastAsia="zh-CN"/>
        </w:rPr>
        <w:t>对</w:t>
      </w:r>
      <w:r>
        <w:rPr>
          <w:rFonts w:hint="eastAsia" w:ascii="宋体" w:hAnsi="宋体" w:eastAsia="宋体" w:cs="宋体"/>
          <w:sz w:val="24"/>
          <w:szCs w:val="24"/>
        </w:rPr>
        <w:t>固定资产进行全生命周期管理，</w:t>
      </w:r>
      <w:r>
        <w:rPr>
          <w:rFonts w:hint="eastAsia" w:ascii="宋体" w:hAnsi="宋体" w:eastAsia="宋体" w:cs="宋体"/>
          <w:sz w:val="24"/>
          <w:szCs w:val="24"/>
          <w:lang w:eastAsia="zh-CN"/>
        </w:rPr>
        <w:t>涵盖</w:t>
      </w:r>
      <w:r>
        <w:rPr>
          <w:rFonts w:hint="eastAsia" w:ascii="宋体" w:hAnsi="宋体" w:eastAsia="宋体" w:cs="宋体"/>
          <w:sz w:val="24"/>
          <w:szCs w:val="24"/>
        </w:rPr>
        <w:t>资产配置、采购、入库、领用、维修、智能清查盘点等各个环节的管理，实现资产线上全过程监督与管理，实现跨部门的业务流和数据流管理</w:t>
      </w:r>
      <w:r>
        <w:rPr>
          <w:rFonts w:hint="eastAsia" w:ascii="宋体" w:hAnsi="宋体" w:eastAsia="宋体" w:cs="宋体"/>
          <w:sz w:val="24"/>
          <w:szCs w:val="24"/>
          <w:lang w:eastAsia="zh-CN"/>
        </w:rPr>
        <w:t>。</w:t>
      </w:r>
    </w:p>
    <w:p>
      <w:pPr>
        <w:numPr>
          <w:ilvl w:val="0"/>
          <w:numId w:val="1"/>
        </w:numPr>
        <w:spacing w:line="360" w:lineRule="auto"/>
        <w:ind w:left="16" w:leftChars="-56" w:hanging="134"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服务及技术参数要求</w:t>
      </w:r>
    </w:p>
    <w:p>
      <w:pPr>
        <w:spacing w:line="360" w:lineRule="auto"/>
        <w:ind w:firstLine="481" w:firstLineChars="200"/>
        <w:outlineLvl w:val="1"/>
        <w:rPr>
          <w:rFonts w:hint="eastAsia" w:ascii="宋体" w:hAnsi="宋体" w:eastAsia="宋体" w:cs="宋体"/>
          <w:b/>
          <w:kern w:val="2"/>
          <w:sz w:val="24"/>
          <w:szCs w:val="24"/>
        </w:rPr>
      </w:pPr>
      <w:r>
        <w:rPr>
          <w:rFonts w:hint="eastAsia" w:ascii="宋体" w:hAnsi="宋体" w:eastAsia="宋体" w:cs="宋体"/>
          <w:b/>
          <w:kern w:val="2"/>
          <w:sz w:val="24"/>
          <w:szCs w:val="24"/>
        </w:rPr>
        <w:t>1、采购目标；</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本项目的总体目标是通过租用政务云平台基础服务，对“北京市政协</w:t>
      </w:r>
      <w:r>
        <w:rPr>
          <w:rFonts w:hint="eastAsia" w:ascii="宋体" w:hAnsi="宋体" w:eastAsia="宋体" w:cs="宋体"/>
          <w:bCs/>
          <w:kern w:val="2"/>
          <w:sz w:val="24"/>
          <w:szCs w:val="24"/>
          <w:lang w:val="en-US" w:eastAsia="zh-CN"/>
        </w:rPr>
        <w:t>2026年</w:t>
      </w:r>
      <w:r>
        <w:rPr>
          <w:rFonts w:hint="eastAsia" w:ascii="宋体" w:hAnsi="宋体" w:eastAsia="宋体" w:cs="宋体"/>
          <w:bCs/>
          <w:kern w:val="2"/>
          <w:sz w:val="24"/>
          <w:szCs w:val="24"/>
        </w:rPr>
        <w:t>信息系统政务云基础服务”的运行环境进行持续优化，提供可靠、稳定、安全的政务云服务，具体包括：</w:t>
      </w:r>
    </w:p>
    <w:p>
      <w:pPr>
        <w:tabs>
          <w:tab w:val="left" w:pos="567"/>
        </w:tabs>
        <w:adjustRightInd/>
        <w:spacing w:before="120" w:line="22" w:lineRule="atLeas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（1）提供政务云基础服务，包括计算服务、存储服务和网络服务等基础环境日常维护、应急响应等工作。</w:t>
      </w:r>
    </w:p>
    <w:p>
      <w:pPr>
        <w:tabs>
          <w:tab w:val="left" w:pos="567"/>
        </w:tabs>
        <w:adjustRightInd/>
        <w:spacing w:before="120" w:line="22" w:lineRule="atLeas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（2）提供7*24运维保障，做好重大活动和节假日应急值守保障服务，确保各系统在政务云环境中可靠稳定运行。</w:t>
      </w:r>
    </w:p>
    <w:p>
      <w:pPr>
        <w:spacing w:line="360" w:lineRule="auto"/>
        <w:ind w:firstLine="602" w:firstLineChars="250"/>
        <w:outlineLvl w:val="1"/>
        <w:rPr>
          <w:rFonts w:hint="eastAsia" w:ascii="宋体" w:hAnsi="宋体" w:eastAsia="宋体" w:cs="宋体"/>
          <w:b/>
          <w:kern w:val="2"/>
          <w:sz w:val="24"/>
          <w:szCs w:val="24"/>
        </w:rPr>
      </w:pPr>
      <w:r>
        <w:rPr>
          <w:rFonts w:hint="eastAsia" w:ascii="宋体" w:hAnsi="宋体" w:eastAsia="宋体" w:cs="宋体"/>
          <w:b/>
          <w:kern w:val="2"/>
          <w:sz w:val="24"/>
          <w:szCs w:val="24"/>
        </w:rPr>
        <w:t>2、安全及扩展要求：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（1）安全要求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所投云平台应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（2）扩展要求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应按照各系统的特点灵活调整计算资源、存储资源及网络资源等各类服务供给，并能够根据业务保障的需要灵活调整基础资源，确保系统高峰时段或特殊时期的访问需求。</w:t>
      </w:r>
    </w:p>
    <w:p>
      <w:pPr>
        <w:spacing w:line="360" w:lineRule="auto"/>
        <w:ind w:firstLine="481" w:firstLineChars="200"/>
        <w:outlineLvl w:val="1"/>
        <w:rPr>
          <w:rFonts w:hint="eastAsia" w:ascii="宋体" w:hAnsi="宋体" w:eastAsia="宋体" w:cs="宋体"/>
          <w:b/>
          <w:kern w:val="2"/>
          <w:sz w:val="24"/>
          <w:szCs w:val="24"/>
        </w:rPr>
      </w:pPr>
      <w:r>
        <w:rPr>
          <w:rFonts w:hint="eastAsia" w:ascii="宋体" w:hAnsi="宋体" w:eastAsia="宋体" w:cs="宋体"/>
          <w:b/>
          <w:kern w:val="2"/>
          <w:sz w:val="24"/>
          <w:szCs w:val="24"/>
        </w:rPr>
        <w:t>3、服务内容及要求：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按照采购人的有关规定及要求，提供计算、存储、网络等政务云基础服务，项目交付地点为北京市市级政务云机房，服务内容及要求如下：</w:t>
      </w:r>
    </w:p>
    <w:tbl>
      <w:tblPr>
        <w:tblStyle w:val="11"/>
        <w:tblW w:w="8217" w:type="dxa"/>
        <w:tblInd w:w="113" w:type="dxa"/>
        <w:tblLayout w:type="fixed"/>
        <w:tblCellMar>
          <w:top w:w="0" w:type="dxa"/>
          <w:left w:w="108" w:type="dxa"/>
          <w:bottom w:w="0" w:type="dxa"/>
          <w:right w:w="108" w:type="dxa"/>
        </w:tblCellMar>
      </w:tblPr>
      <w:tblGrid>
        <w:gridCol w:w="1080"/>
        <w:gridCol w:w="1750"/>
        <w:gridCol w:w="2450"/>
        <w:gridCol w:w="1945"/>
        <w:gridCol w:w="992"/>
      </w:tblGrid>
      <w:tr>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000000" w:fill="BFBFBF"/>
            <w:noWrap w:val="0"/>
            <w:vAlign w:val="center"/>
          </w:tcPr>
          <w:p>
            <w:pPr>
              <w:widowControl/>
              <w:adjustRightInd/>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服务类别</w:t>
            </w:r>
          </w:p>
        </w:tc>
        <w:tc>
          <w:tcPr>
            <w:tcW w:w="1750" w:type="dxa"/>
            <w:tcBorders>
              <w:top w:val="single" w:color="auto" w:sz="4" w:space="0"/>
              <w:left w:val="nil"/>
              <w:bottom w:val="single" w:color="auto" w:sz="4" w:space="0"/>
              <w:right w:val="single" w:color="auto" w:sz="4" w:space="0"/>
            </w:tcBorders>
            <w:shd w:val="clear" w:color="000000" w:fill="BFBFBF"/>
            <w:noWrap w:val="0"/>
            <w:vAlign w:val="center"/>
          </w:tcPr>
          <w:p>
            <w:pPr>
              <w:widowControl/>
              <w:adjustRightInd/>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服务子类</w:t>
            </w:r>
          </w:p>
        </w:tc>
        <w:tc>
          <w:tcPr>
            <w:tcW w:w="2450" w:type="dxa"/>
            <w:tcBorders>
              <w:top w:val="single" w:color="auto" w:sz="4" w:space="0"/>
              <w:left w:val="nil"/>
              <w:bottom w:val="single" w:color="auto" w:sz="4" w:space="0"/>
              <w:right w:val="single" w:color="auto" w:sz="4" w:space="0"/>
            </w:tcBorders>
            <w:shd w:val="clear" w:color="000000" w:fill="BFBFBF"/>
            <w:noWrap w:val="0"/>
            <w:vAlign w:val="center"/>
          </w:tcPr>
          <w:p>
            <w:pPr>
              <w:widowControl/>
              <w:adjustRightInd/>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服务项</w:t>
            </w:r>
          </w:p>
        </w:tc>
        <w:tc>
          <w:tcPr>
            <w:tcW w:w="1945" w:type="dxa"/>
            <w:tcBorders>
              <w:top w:val="single" w:color="auto" w:sz="4" w:space="0"/>
              <w:left w:val="nil"/>
              <w:bottom w:val="single" w:color="auto" w:sz="4" w:space="0"/>
              <w:right w:val="single" w:color="auto" w:sz="4" w:space="0"/>
            </w:tcBorders>
            <w:shd w:val="clear" w:color="000000" w:fill="BFBFBF"/>
            <w:noWrap w:val="0"/>
            <w:vAlign w:val="center"/>
          </w:tcPr>
          <w:p>
            <w:pPr>
              <w:widowControl/>
              <w:adjustRightInd/>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992" w:type="dxa"/>
            <w:tcBorders>
              <w:top w:val="single" w:color="auto" w:sz="4" w:space="0"/>
              <w:left w:val="nil"/>
              <w:bottom w:val="single" w:color="auto" w:sz="4" w:space="0"/>
              <w:right w:val="single" w:color="auto" w:sz="4" w:space="0"/>
            </w:tcBorders>
            <w:shd w:val="clear" w:color="000000" w:fill="BFBFBF"/>
            <w:noWrap w:val="0"/>
            <w:vAlign w:val="center"/>
          </w:tcPr>
          <w:p>
            <w:pPr>
              <w:widowControl/>
              <w:adjustRightIn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CellMar>
            <w:top w:w="0" w:type="dxa"/>
            <w:left w:w="108" w:type="dxa"/>
            <w:bottom w:w="0" w:type="dxa"/>
            <w:right w:w="108" w:type="dxa"/>
          </w:tblCellMar>
        </w:tblPrEx>
        <w:trPr>
          <w:trHeight w:val="570" w:hRule="atLeast"/>
        </w:trPr>
        <w:tc>
          <w:tcPr>
            <w:tcW w:w="1080" w:type="dxa"/>
            <w:vMerge w:val="restart"/>
            <w:tcBorders>
              <w:top w:val="nil"/>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计算服务</w:t>
            </w:r>
          </w:p>
        </w:tc>
        <w:tc>
          <w:tcPr>
            <w:tcW w:w="1750" w:type="dxa"/>
            <w:vMerge w:val="restart"/>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云主机服务</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vCPU（主频不低于2.4GHz）</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1CPU/元/</w:t>
            </w:r>
            <w:r>
              <w:rPr>
                <w:rFonts w:hint="eastAsia" w:ascii="宋体" w:hAnsi="宋体" w:cs="宋体"/>
                <w:color w:val="000000"/>
                <w:sz w:val="24"/>
                <w:szCs w:val="24"/>
                <w:lang w:eastAsia="zh-CN"/>
              </w:rPr>
              <w:t>月</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777</w:t>
            </w:r>
          </w:p>
        </w:tc>
      </w:tr>
      <w:tr>
        <w:tblPrEx>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内存</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1GB/元/</w:t>
            </w:r>
            <w:r>
              <w:rPr>
                <w:rFonts w:hint="eastAsia" w:ascii="宋体" w:hAnsi="宋体" w:cs="宋体"/>
                <w:color w:val="000000"/>
                <w:sz w:val="24"/>
                <w:szCs w:val="24"/>
                <w:lang w:eastAsia="zh-CN"/>
              </w:rPr>
              <w:t>月</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2313</w:t>
            </w:r>
          </w:p>
        </w:tc>
      </w:tr>
      <w:tr>
        <w:tblPrEx>
          <w:tblCellMar>
            <w:top w:w="0" w:type="dxa"/>
            <w:left w:w="108" w:type="dxa"/>
            <w:bottom w:w="0" w:type="dxa"/>
            <w:right w:w="108" w:type="dxa"/>
          </w:tblCellMar>
        </w:tblPrEx>
        <w:trPr>
          <w:trHeight w:val="705" w:hRule="atLeast"/>
        </w:trPr>
        <w:tc>
          <w:tcPr>
            <w:tcW w:w="1080" w:type="dxa"/>
            <w:vMerge w:val="restart"/>
            <w:tcBorders>
              <w:top w:val="nil"/>
              <w:left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存储服务</w:t>
            </w: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普通性能存储</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普通存储（单盘技术指标: 单盘IOPS 1000-3000 ）</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1GB/元/</w:t>
            </w:r>
            <w:r>
              <w:rPr>
                <w:rFonts w:hint="eastAsia" w:ascii="宋体" w:hAnsi="宋体" w:cs="宋体"/>
                <w:color w:val="000000"/>
                <w:sz w:val="24"/>
                <w:szCs w:val="24"/>
                <w:lang w:eastAsia="zh-CN"/>
              </w:rPr>
              <w:t>月</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15000</w:t>
            </w:r>
          </w:p>
        </w:tc>
      </w:tr>
      <w:tr>
        <w:tblPrEx>
          <w:tblCellMar>
            <w:top w:w="0" w:type="dxa"/>
            <w:left w:w="108" w:type="dxa"/>
            <w:bottom w:w="0" w:type="dxa"/>
            <w:right w:w="108" w:type="dxa"/>
          </w:tblCellMar>
        </w:tblPrEx>
        <w:trPr>
          <w:trHeight w:val="450" w:hRule="atLeast"/>
        </w:trPr>
        <w:tc>
          <w:tcPr>
            <w:tcW w:w="1080" w:type="dxa"/>
            <w:vMerge w:val="continue"/>
            <w:tcBorders>
              <w:left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高性能存储</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高性能存储（单盘技术指标：单盘IOPS 3000-20000 ）</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1GB/元/</w:t>
            </w:r>
            <w:r>
              <w:rPr>
                <w:rFonts w:hint="eastAsia" w:ascii="宋体" w:hAnsi="宋体" w:cs="宋体"/>
                <w:color w:val="000000"/>
                <w:sz w:val="24"/>
                <w:szCs w:val="24"/>
                <w:lang w:eastAsia="zh-CN"/>
              </w:rPr>
              <w:t>月</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122982</w:t>
            </w:r>
          </w:p>
        </w:tc>
      </w:tr>
      <w:tr>
        <w:tblPrEx>
          <w:tblCellMar>
            <w:top w:w="0" w:type="dxa"/>
            <w:left w:w="108" w:type="dxa"/>
            <w:bottom w:w="0" w:type="dxa"/>
            <w:right w:w="108" w:type="dxa"/>
          </w:tblCellMar>
        </w:tblPrEx>
        <w:trPr>
          <w:trHeight w:val="450" w:hRule="atLeast"/>
        </w:trPr>
        <w:tc>
          <w:tcPr>
            <w:tcW w:w="1080" w:type="dxa"/>
            <w:vMerge w:val="continue"/>
            <w:tcBorders>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本地备份</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普通存储（单盘技术指标: 单盘IOPS 1000-3000 ）</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1GB/元/</w:t>
            </w:r>
            <w:r>
              <w:rPr>
                <w:rFonts w:hint="eastAsia" w:ascii="宋体" w:hAnsi="宋体" w:cs="宋体"/>
                <w:color w:val="000000"/>
                <w:sz w:val="24"/>
                <w:szCs w:val="24"/>
                <w:lang w:eastAsia="zh-CN"/>
              </w:rPr>
              <w:t>月</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15000</w:t>
            </w:r>
          </w:p>
        </w:tc>
      </w:tr>
      <w:tr>
        <w:tblPrEx>
          <w:tblCellMar>
            <w:top w:w="0" w:type="dxa"/>
            <w:left w:w="108" w:type="dxa"/>
            <w:bottom w:w="0" w:type="dxa"/>
            <w:right w:w="108" w:type="dxa"/>
          </w:tblCellMar>
        </w:tblPrEx>
        <w:trPr>
          <w:trHeight w:val="300" w:hRule="atLeast"/>
        </w:trPr>
        <w:tc>
          <w:tcPr>
            <w:tcW w:w="1080" w:type="dxa"/>
            <w:vMerge w:val="restart"/>
            <w:tcBorders>
              <w:top w:val="nil"/>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网络服务</w:t>
            </w: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互联网链路服务</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互联网链路带宽</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1Mb/元/</w:t>
            </w:r>
            <w:r>
              <w:rPr>
                <w:rFonts w:hint="eastAsia" w:ascii="宋体" w:hAnsi="宋体" w:cs="宋体"/>
                <w:color w:val="000000"/>
                <w:sz w:val="24"/>
                <w:szCs w:val="24"/>
                <w:lang w:eastAsia="zh-CN"/>
              </w:rPr>
              <w:t>月</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tblPrEx>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互联网链路服务</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互联网IP地址租用服务、并提供备案服务</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1IP/元/</w:t>
            </w:r>
            <w:r>
              <w:rPr>
                <w:rFonts w:hint="eastAsia" w:ascii="宋体" w:hAnsi="宋体" w:cs="宋体"/>
                <w:color w:val="000000"/>
                <w:sz w:val="24"/>
                <w:szCs w:val="24"/>
                <w:lang w:eastAsia="zh-CN"/>
              </w:rPr>
              <w:t>月</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主机负载均衡服务</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主机负载均衡服务</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1IP（内网）/元/</w:t>
            </w:r>
            <w:r>
              <w:rPr>
                <w:rFonts w:hint="eastAsia" w:ascii="宋体" w:hAnsi="宋体" w:cs="宋体"/>
                <w:color w:val="000000"/>
                <w:sz w:val="24"/>
                <w:szCs w:val="24"/>
                <w:lang w:eastAsia="zh-CN"/>
              </w:rPr>
              <w:t>月</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tblPrEx>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远程接入服务</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每个账号结合身份验通过VPN远程接入堡垒机进行维护</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1账号/元/</w:t>
            </w:r>
            <w:r>
              <w:rPr>
                <w:rFonts w:hint="eastAsia" w:ascii="宋体" w:hAnsi="宋体" w:cs="宋体"/>
                <w:color w:val="000000"/>
                <w:sz w:val="24"/>
                <w:szCs w:val="24"/>
                <w:lang w:eastAsia="zh-CN"/>
              </w:rPr>
              <w:t>月</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r>
      <w:tr>
        <w:tblPrEx>
          <w:tblCellMar>
            <w:top w:w="0" w:type="dxa"/>
            <w:left w:w="108" w:type="dxa"/>
            <w:bottom w:w="0" w:type="dxa"/>
            <w:right w:w="108" w:type="dxa"/>
          </w:tblCellMar>
        </w:tblPrEx>
        <w:trPr>
          <w:trHeight w:val="55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WAF防护</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在网站前端架设WAF防护服务，保证用户网站对已知安全隐患进行防护，实时升级漏洞补丁，配置防护策略，可起到前端防护作用。</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1IP（互联网）/元/</w:t>
            </w:r>
            <w:r>
              <w:rPr>
                <w:rFonts w:hint="eastAsia" w:ascii="宋体" w:hAnsi="宋体" w:cs="宋体"/>
                <w:color w:val="000000"/>
                <w:sz w:val="24"/>
                <w:szCs w:val="24"/>
                <w:lang w:eastAsia="zh-CN"/>
              </w:rPr>
              <w:t>月</w:t>
            </w:r>
            <w:bookmarkStart w:id="1" w:name="_GoBack"/>
            <w:bookmarkEnd w:id="1"/>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r>
    </w:tbl>
    <w:p>
      <w:pPr>
        <w:spacing w:line="360" w:lineRule="auto"/>
        <w:ind w:firstLine="481" w:firstLineChars="200"/>
        <w:outlineLvl w:val="1"/>
        <w:rPr>
          <w:rFonts w:hint="eastAsia" w:ascii="宋体" w:hAnsi="宋体" w:eastAsia="宋体" w:cs="宋体"/>
          <w:b/>
          <w:kern w:val="2"/>
          <w:sz w:val="24"/>
          <w:szCs w:val="24"/>
        </w:rPr>
      </w:pPr>
      <w:r>
        <w:rPr>
          <w:rFonts w:hint="eastAsia" w:ascii="宋体" w:hAnsi="宋体" w:eastAsia="宋体" w:cs="宋体"/>
          <w:b/>
          <w:kern w:val="2"/>
          <w:sz w:val="24"/>
          <w:szCs w:val="24"/>
        </w:rPr>
        <w:t>4、政务云基础服务；</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所提供的服务内容应满足以下服务要求：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（1）云主机服务（CPU,内存）</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按照采购人的具体需求，提供云主机服务，按照采购人要求对CPU及内存进行动态调整，实现合理的计算资源配置。</w:t>
      </w:r>
    </w:p>
    <w:p>
      <w:pPr>
        <w:spacing w:line="360" w:lineRule="auto"/>
        <w:ind w:firstLine="480" w:firstLineChars="200"/>
        <w:rPr>
          <w:rFonts w:hint="eastAsia" w:ascii="宋体" w:hAnsi="宋体" w:eastAsia="宋体" w:cs="宋体"/>
          <w:bCs/>
          <w:color w:val="000000"/>
          <w:kern w:val="2"/>
          <w:sz w:val="24"/>
          <w:szCs w:val="24"/>
          <w:lang w:bidi="ar"/>
        </w:rPr>
      </w:pPr>
      <w:r>
        <w:rPr>
          <w:rFonts w:hint="eastAsia" w:ascii="宋体" w:hAnsi="宋体" w:eastAsia="宋体" w:cs="宋体"/>
          <w:bCs/>
          <w:color w:val="000000"/>
          <w:sz w:val="24"/>
          <w:szCs w:val="24"/>
          <w:lang w:bidi="ar"/>
        </w:rPr>
        <w:t>（2）存储服务</w:t>
      </w:r>
    </w:p>
    <w:p>
      <w:pPr>
        <w:spacing w:line="360" w:lineRule="auto"/>
        <w:ind w:firstLine="480" w:firstLineChars="200"/>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按照采购人的具体需求，提供普通性能存储</w:t>
      </w:r>
      <w:r>
        <w:rPr>
          <w:rFonts w:hint="eastAsia" w:ascii="宋体" w:hAnsi="宋体" w:eastAsia="宋体" w:cs="宋体"/>
          <w:bCs/>
          <w:color w:val="000000"/>
          <w:sz w:val="24"/>
          <w:szCs w:val="24"/>
          <w:lang w:eastAsia="zh-CN" w:bidi="ar"/>
        </w:rPr>
        <w:t>、</w:t>
      </w:r>
      <w:r>
        <w:rPr>
          <w:rFonts w:hint="eastAsia" w:ascii="宋体" w:hAnsi="宋体" w:eastAsia="宋体" w:cs="宋体"/>
          <w:bCs/>
          <w:color w:val="000000"/>
          <w:sz w:val="24"/>
          <w:szCs w:val="24"/>
          <w:lang w:bidi="ar"/>
        </w:rPr>
        <w:t>高性能存储</w:t>
      </w:r>
      <w:r>
        <w:rPr>
          <w:rFonts w:hint="eastAsia" w:ascii="宋体" w:hAnsi="宋体" w:eastAsia="宋体" w:cs="宋体"/>
          <w:bCs/>
          <w:color w:val="000000"/>
          <w:sz w:val="24"/>
          <w:szCs w:val="24"/>
          <w:highlight w:val="none"/>
          <w:lang w:bidi="ar"/>
        </w:rPr>
        <w:t>服务</w:t>
      </w:r>
      <w:r>
        <w:rPr>
          <w:rFonts w:hint="eastAsia" w:ascii="宋体" w:hAnsi="宋体" w:eastAsia="宋体" w:cs="宋体"/>
          <w:bCs/>
          <w:color w:val="000000"/>
          <w:sz w:val="24"/>
          <w:szCs w:val="24"/>
          <w:highlight w:val="none"/>
          <w:lang w:val="en-US" w:eastAsia="zh-CN" w:bidi="ar"/>
        </w:rPr>
        <w:t>和本地备份服务</w:t>
      </w:r>
      <w:r>
        <w:rPr>
          <w:rFonts w:hint="eastAsia" w:ascii="宋体" w:hAnsi="宋体" w:eastAsia="宋体" w:cs="宋体"/>
          <w:bCs/>
          <w:color w:val="000000"/>
          <w:sz w:val="24"/>
          <w:szCs w:val="24"/>
          <w:highlight w:val="none"/>
          <w:lang w:bidi="ar"/>
        </w:rPr>
        <w:t>，实</w:t>
      </w:r>
      <w:r>
        <w:rPr>
          <w:rFonts w:hint="eastAsia" w:ascii="宋体" w:hAnsi="宋体" w:eastAsia="宋体" w:cs="宋体"/>
          <w:bCs/>
          <w:color w:val="000000"/>
          <w:sz w:val="24"/>
          <w:szCs w:val="24"/>
          <w:lang w:bidi="ar"/>
        </w:rPr>
        <w:t>现合理的存储资源配置。</w:t>
      </w:r>
    </w:p>
    <w:p>
      <w:pPr>
        <w:numPr>
          <w:ilvl w:val="0"/>
          <w:numId w:val="2"/>
        </w:numPr>
        <w:adjustRightInd/>
        <w:spacing w:line="360" w:lineRule="auto"/>
        <w:ind w:firstLine="480" w:firstLineChars="200"/>
        <w:jc w:val="both"/>
        <w:textAlignment w:val="auto"/>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主机负载均衡</w:t>
      </w:r>
    </w:p>
    <w:p>
      <w:pPr>
        <w:spacing w:line="360" w:lineRule="auto"/>
        <w:ind w:firstLine="480" w:firstLineChars="200"/>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按照采购人的具体需求，提供主机负载均衡服务，实现主机应用集群的负载均衡。</w:t>
      </w:r>
    </w:p>
    <w:p>
      <w:pPr>
        <w:numPr>
          <w:ilvl w:val="0"/>
          <w:numId w:val="2"/>
        </w:numPr>
        <w:adjustRightInd/>
        <w:spacing w:line="360" w:lineRule="auto"/>
        <w:ind w:firstLine="480" w:firstLineChars="200"/>
        <w:jc w:val="both"/>
        <w:textAlignment w:val="auto"/>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互联网链路服务</w:t>
      </w:r>
    </w:p>
    <w:p>
      <w:pPr>
        <w:spacing w:line="360" w:lineRule="auto"/>
        <w:ind w:firstLine="480" w:firstLineChars="200"/>
        <w:rPr>
          <w:rFonts w:hint="eastAsia" w:ascii="宋体" w:hAnsi="宋体" w:eastAsia="宋体" w:cs="宋体"/>
          <w:bCs/>
          <w:sz w:val="24"/>
          <w:szCs w:val="24"/>
          <w:lang w:bidi="ar"/>
        </w:rPr>
      </w:pPr>
      <w:r>
        <w:rPr>
          <w:rFonts w:hint="eastAsia" w:ascii="宋体" w:hAnsi="宋体" w:eastAsia="宋体" w:cs="宋体"/>
          <w:bCs/>
          <w:sz w:val="24"/>
          <w:szCs w:val="24"/>
          <w:lang w:bidi="ar"/>
        </w:rPr>
        <w:t>按照采购人的具体需求，提供互联网链路带宽服务及互联网IP地址租用服务，并提供相应的网络域名备案服务，按照管理部门要求,配合系统应用厂商提供网络策略配置服务。</w:t>
      </w:r>
    </w:p>
    <w:p>
      <w:pPr>
        <w:numPr>
          <w:ilvl w:val="0"/>
          <w:numId w:val="2"/>
        </w:numPr>
        <w:adjustRightInd/>
        <w:spacing w:line="360" w:lineRule="auto"/>
        <w:ind w:firstLine="480" w:firstLineChars="200"/>
        <w:jc w:val="both"/>
        <w:textAlignment w:val="auto"/>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 xml:space="preserve">远程接入服务 </w:t>
      </w:r>
    </w:p>
    <w:p>
      <w:pPr>
        <w:spacing w:line="360" w:lineRule="auto"/>
        <w:ind w:firstLine="480" w:firstLineChars="200"/>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按照采购人的具体需求，提供互联网远程接入服务，每个账号结合身份验证通过VPN远程接入堡垒机维护应用系统。</w:t>
      </w:r>
    </w:p>
    <w:p>
      <w:pPr>
        <w:numPr>
          <w:ilvl w:val="0"/>
          <w:numId w:val="2"/>
        </w:numPr>
        <w:adjustRightInd/>
        <w:spacing w:line="360" w:lineRule="auto"/>
        <w:ind w:firstLine="480" w:firstLineChars="200"/>
        <w:jc w:val="both"/>
        <w:textAlignment w:val="auto"/>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WAF防护服务</w:t>
      </w:r>
    </w:p>
    <w:p>
      <w:pPr>
        <w:spacing w:line="360" w:lineRule="auto"/>
        <w:ind w:firstLine="480" w:firstLineChars="200"/>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按照采购人的具体需求，提供互联网WAF防护服务，保证用户对已知安全隐患进行防护，实时升级漏洞补丁，配置防护策略，起到前端防护作用。</w:t>
      </w:r>
    </w:p>
    <w:p>
      <w:pPr>
        <w:spacing w:line="360" w:lineRule="auto"/>
        <w:ind w:firstLine="481" w:firstLineChars="200"/>
        <w:outlineLvl w:val="1"/>
        <w:rPr>
          <w:rFonts w:hint="eastAsia" w:ascii="宋体" w:hAnsi="宋体" w:eastAsia="宋体" w:cs="宋体"/>
          <w:b/>
          <w:kern w:val="2"/>
          <w:sz w:val="24"/>
          <w:szCs w:val="24"/>
        </w:rPr>
      </w:pPr>
      <w:r>
        <w:rPr>
          <w:rFonts w:hint="eastAsia" w:ascii="宋体" w:hAnsi="宋体" w:eastAsia="宋体" w:cs="宋体"/>
          <w:b/>
          <w:kern w:val="2"/>
          <w:sz w:val="24"/>
          <w:szCs w:val="24"/>
        </w:rPr>
        <w:t>5、运维及安全保障服务</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服务期内，</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还须完成信息系统的日常运维和安全运维服务工作（包括但不限于：日常技术支持、系统日常维护、系统状态运行监控、系统事故处理，安全运维服务相关的工作以及其他运维工作），确保入云系统安全、稳定的运行，满足以下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（1）服务规范</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须严格按照采购人制定的管理办法、流程及其他汇报制度、应急制度、文档管理、资产管理、基线管理、人员管理、培训与考试、知识库管理、安全管理等相关制度，开展标准化运维工作。</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（2）服务方式</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需利用监控系统或人工对机房环境、硬件设备及应用系统的运行情况进行7*24小时的不间断巡检监控，及时发现安全隐患，通知相关人员及时处理，并形成监控报告。</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负责设立技术支持热线，并安排专人值守，为运维工作提供7*24小时热线支持服务。</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针对采购人要求的云平台运维服务相关内容，需指定专业技术能力较强的工程师，根据采购人要求配合开展相关维护服务。</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（3）安全及保密要求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须严格遵守采购人的相关信息安全规定，不得利用系统维护服务时的便利对采购人数据及其他信息擅自修改或透漏给第三方。</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（4）响应的及时性</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应当提供高效的系统维护服务，有效防范系统风险，系统对应负责人7*24小时电话畅通，能够在系统发生除宕机外的其他故障问题时，能够协调人力资源在2小时内到达政务云机房现场提供服务。系统发生宕机问题时，</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应在30分钟内响应，在4个小时之内使系统恢复正常，故障处理完毕后提供相关系统宕机报告。</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（5）重点保障要求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为保障业务高峰期内系统平稳运行，缓解系统高峰期内因业务发生量增大而带来系统压力风险，要求</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根据业务周期性特点，加大运维保障力度，保证在业务高峰期内系统平稳运行。</w:t>
      </w:r>
    </w:p>
    <w:p>
      <w:pPr>
        <w:numPr>
          <w:ilvl w:val="0"/>
          <w:numId w:val="1"/>
        </w:numPr>
        <w:spacing w:line="360" w:lineRule="auto"/>
        <w:ind w:left="16" w:leftChars="-56" w:hanging="134"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售后服务</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服务期内，成交人须设有7×24小时电话响应服务、有常驻本地化运维团队，提供可靠的售后服务保障。</w:t>
      </w:r>
    </w:p>
    <w:p>
      <w:pPr>
        <w:numPr>
          <w:ilvl w:val="0"/>
          <w:numId w:val="1"/>
        </w:numPr>
        <w:spacing w:line="360" w:lineRule="auto"/>
        <w:ind w:left="16" w:leftChars="-56" w:hanging="134"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服务期限及服务地点</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服务地点：北京市市级政务云机房。</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服务期限：2026年3月20日至2027年6月30日。</w:t>
      </w:r>
    </w:p>
    <w:p>
      <w:pPr>
        <w:numPr>
          <w:ilvl w:val="0"/>
          <w:numId w:val="1"/>
        </w:numPr>
        <w:spacing w:line="360" w:lineRule="auto"/>
        <w:ind w:left="16" w:leftChars="-56" w:hanging="134"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验收服务要求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成交人所提供资源应满足磋商文件规定的要求。保证合同期内系统安全稳定运行，不因硬件故障导致服务中断12小时。服务期满后30个工作日开始对合同项目进行验收。成交人应当在采购人指定的验收日前向采购人提交验收报告。验收报告的内容包括但不限于，合同规定的各项服务清单，各系统设备运行情况。</w:t>
      </w:r>
    </w:p>
    <w:p>
      <w:pPr>
        <w:numPr>
          <w:ilvl w:val="0"/>
          <w:numId w:val="1"/>
        </w:numPr>
        <w:spacing w:line="360" w:lineRule="auto"/>
        <w:ind w:left="16" w:leftChars="-56" w:hanging="134"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付款方式</w:t>
      </w:r>
    </w:p>
    <w:p>
      <w:pPr>
        <w:spacing w:line="360" w:lineRule="auto"/>
        <w:ind w:firstLine="480" w:firstLineChars="200"/>
        <w:rPr>
          <w:rFonts w:hint="eastAsia" w:ascii="宋体" w:hAnsi="宋体" w:eastAsia="宋体" w:cs="宋体"/>
          <w:bCs/>
          <w:kern w:val="2"/>
          <w:sz w:val="24"/>
          <w:szCs w:val="24"/>
          <w:highlight w:val="yellow"/>
        </w:rPr>
      </w:pPr>
      <w:r>
        <w:rPr>
          <w:rFonts w:hint="eastAsia" w:ascii="宋体" w:hAnsi="宋体" w:eastAsia="宋体" w:cs="宋体"/>
          <w:bCs/>
          <w:kern w:val="2"/>
          <w:sz w:val="24"/>
          <w:szCs w:val="24"/>
          <w:highlight w:val="none"/>
        </w:rPr>
        <w:t>1.采购人于合同生效之日30个工作日内，向成交人支付合同总金额</w:t>
      </w:r>
      <w:r>
        <w:rPr>
          <w:rFonts w:hint="eastAsia" w:ascii="宋体" w:hAnsi="宋体" w:cs="宋体"/>
          <w:bCs/>
          <w:kern w:val="2"/>
          <w:sz w:val="24"/>
          <w:szCs w:val="24"/>
          <w:highlight w:val="none"/>
          <w:lang w:val="en-US" w:eastAsia="zh-CN"/>
        </w:rPr>
        <w:t>3</w:t>
      </w:r>
      <w:r>
        <w:rPr>
          <w:rFonts w:hint="eastAsia" w:ascii="宋体" w:hAnsi="宋体" w:eastAsia="宋体" w:cs="宋体"/>
          <w:bCs/>
          <w:kern w:val="2"/>
          <w:sz w:val="24"/>
          <w:szCs w:val="24"/>
          <w:highlight w:val="none"/>
        </w:rPr>
        <w:t>0%的首付款。</w:t>
      </w:r>
    </w:p>
    <w:p>
      <w:pPr>
        <w:spacing w:line="360" w:lineRule="auto"/>
        <w:ind w:firstLine="480" w:firstLineChars="200"/>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2.采购人在收到成交人服务总结报告后的 10 个工作日内，组织相关负责人员对该项目进行验收评审，经评审合格经甲方签字确认后的30个工作日内，采购人向成交人支付合同总金额</w:t>
      </w:r>
      <w:r>
        <w:rPr>
          <w:rFonts w:hint="eastAsia" w:ascii="宋体" w:hAnsi="宋体" w:cs="宋体"/>
          <w:bCs/>
          <w:kern w:val="2"/>
          <w:sz w:val="24"/>
          <w:szCs w:val="24"/>
          <w:highlight w:val="none"/>
          <w:lang w:val="en-US" w:eastAsia="zh-CN"/>
        </w:rPr>
        <w:t>7</w:t>
      </w:r>
      <w:r>
        <w:rPr>
          <w:rFonts w:hint="eastAsia" w:ascii="宋体" w:hAnsi="宋体" w:eastAsia="宋体" w:cs="宋体"/>
          <w:bCs/>
          <w:kern w:val="2"/>
          <w:sz w:val="24"/>
          <w:szCs w:val="24"/>
          <w:highlight w:val="none"/>
        </w:rPr>
        <w:t>0%的合同尾款。</w:t>
      </w:r>
    </w:p>
    <w:p>
      <w:pPr>
        <w:numPr>
          <w:ilvl w:val="0"/>
          <w:numId w:val="1"/>
        </w:numPr>
        <w:spacing w:line="360" w:lineRule="auto"/>
        <w:ind w:left="16" w:leftChars="-56" w:hanging="134"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其他相关要求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应结合服务需求提供项目团队（1名项目经理和若干名项目团队专职人员）为本项目提供实施服务工作。团队成员应明确职责，架构清晰，岗位设置合理，且具备与本项目相关的项目经验，项目经理具有5年及以上类似工作经验，且具有高级信息系统项目管理师证书。技术负责人员具有CISP(注册信息安全工程师)证书。</w:t>
      </w:r>
    </w:p>
    <w:p>
      <w:pPr>
        <w:pStyle w:val="8"/>
        <w:spacing w:line="360" w:lineRule="auto"/>
        <w:rPr>
          <w:rFonts w:hint="eastAsia" w:ascii="宋体" w:hAnsi="宋体" w:eastAsia="宋体" w:cs="宋体"/>
          <w:bCs/>
          <w:lang w:val="en-US" w:eastAsia="zh-CN"/>
        </w:rPr>
      </w:pPr>
      <w:r>
        <w:rPr>
          <w:rFonts w:hint="eastAsia"/>
          <w:lang w:val="en-US" w:eastAsia="zh-CN"/>
        </w:rPr>
        <w:t xml:space="preserve">   2</w:t>
      </w:r>
      <w:r>
        <w:rPr>
          <w:rFonts w:hint="eastAsia" w:ascii="宋体" w:hAnsi="宋体" w:eastAsia="宋体" w:cs="宋体"/>
          <w:bCs/>
          <w:lang w:val="en-US" w:eastAsia="zh-CN"/>
        </w:rPr>
        <w:t>、</w:t>
      </w:r>
      <w:r>
        <w:rPr>
          <w:rFonts w:hint="eastAsia" w:ascii="宋体" w:hAnsi="宋体" w:eastAsia="宋体" w:cs="宋体"/>
          <w:bCs/>
          <w:sz w:val="24"/>
          <w:szCs w:val="24"/>
        </w:rPr>
        <w:t>政务云平台具备国产化硬件架构，支持部署国产化操作系统软件环境能力</w:t>
      </w:r>
      <w:r>
        <w:rPr>
          <w:rFonts w:hint="eastAsia" w:ascii="宋体" w:hAnsi="宋体" w:eastAsia="宋体" w:cs="宋体"/>
          <w:bCs/>
          <w:sz w:val="24"/>
          <w:szCs w:val="24"/>
          <w:lang w:eastAsia="zh-CN"/>
        </w:rPr>
        <w:t>。</w:t>
      </w:r>
    </w:p>
    <w:p>
      <w:pPr>
        <w:spacing w:line="360" w:lineRule="auto"/>
        <w:ind w:firstLine="360" w:firstLineChars="150"/>
        <w:rPr>
          <w:rFonts w:hint="eastAsia" w:ascii="宋体" w:hAnsi="宋体" w:eastAsia="宋体" w:cs="宋体"/>
          <w:bCs/>
          <w:kern w:val="2"/>
          <w:sz w:val="24"/>
          <w:szCs w:val="24"/>
        </w:rPr>
      </w:pPr>
      <w:r>
        <w:rPr>
          <w:rFonts w:hint="eastAsia" w:ascii="宋体" w:hAnsi="宋体" w:cs="宋体"/>
          <w:bCs/>
          <w:kern w:val="2"/>
          <w:sz w:val="24"/>
          <w:szCs w:val="24"/>
          <w:lang w:val="en-US" w:eastAsia="zh-CN"/>
        </w:rPr>
        <w:t>3</w:t>
      </w:r>
      <w:r>
        <w:rPr>
          <w:rFonts w:hint="eastAsia" w:ascii="宋体" w:hAnsi="宋体" w:eastAsia="宋体" w:cs="宋体"/>
          <w:bCs/>
          <w:kern w:val="2"/>
          <w:sz w:val="24"/>
          <w:szCs w:val="24"/>
        </w:rPr>
        <w:t>、如</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自202</w:t>
      </w:r>
      <w:r>
        <w:rPr>
          <w:rFonts w:hint="eastAsia" w:ascii="宋体" w:hAnsi="宋体" w:eastAsia="宋体" w:cs="宋体"/>
          <w:bCs/>
          <w:kern w:val="2"/>
          <w:sz w:val="24"/>
          <w:szCs w:val="24"/>
          <w:lang w:val="en-US" w:eastAsia="zh-CN"/>
        </w:rPr>
        <w:t>4</w:t>
      </w:r>
      <w:r>
        <w:rPr>
          <w:rFonts w:hint="eastAsia" w:ascii="宋体" w:hAnsi="宋体" w:eastAsia="宋体" w:cs="宋体"/>
          <w:bCs/>
          <w:kern w:val="2"/>
          <w:sz w:val="24"/>
          <w:szCs w:val="24"/>
        </w:rPr>
        <w:t>年1月1日至202</w:t>
      </w:r>
      <w:r>
        <w:rPr>
          <w:rFonts w:hint="eastAsia" w:ascii="宋体" w:hAnsi="宋体" w:eastAsia="宋体" w:cs="宋体"/>
          <w:bCs/>
          <w:kern w:val="2"/>
          <w:sz w:val="24"/>
          <w:szCs w:val="24"/>
          <w:lang w:val="en-US" w:eastAsia="zh-CN"/>
        </w:rPr>
        <w:t>5</w:t>
      </w:r>
      <w:r>
        <w:rPr>
          <w:rFonts w:hint="eastAsia" w:ascii="宋体" w:hAnsi="宋体" w:eastAsia="宋体" w:cs="宋体"/>
          <w:bCs/>
          <w:kern w:val="2"/>
          <w:sz w:val="24"/>
          <w:szCs w:val="24"/>
        </w:rPr>
        <w:t>年12月31日具备类似案例或业绩的合同复印件，可在响应文件中提供合同首页、合同金额页、内容描述页（部分或全部内容均可）、盖章页的复印件。</w:t>
      </w:r>
    </w:p>
    <w:p>
      <w:pPr>
        <w:pStyle w:val="8"/>
        <w:rPr>
          <w:rFonts w:hint="eastAsia" w:cs="宋体"/>
          <w:b/>
          <w:bCs w:val="0"/>
          <w:kern w:val="2"/>
          <w:sz w:val="24"/>
          <w:szCs w:val="24"/>
          <w:lang w:val="en-US" w:eastAsia="zh-CN"/>
        </w:rPr>
      </w:pPr>
      <w:r>
        <w:rPr>
          <w:rFonts w:hint="eastAsia" w:cs="宋体"/>
          <w:b/>
          <w:bCs w:val="0"/>
          <w:kern w:val="2"/>
          <w:sz w:val="24"/>
          <w:szCs w:val="24"/>
          <w:lang w:val="en-US" w:eastAsia="zh-CN"/>
        </w:rPr>
        <w:t>九、政策性采购需求</w:t>
      </w:r>
    </w:p>
    <w:p>
      <w:pPr>
        <w:pStyle w:val="8"/>
        <w:ind w:firstLine="480" w:firstLineChars="200"/>
        <w:rPr>
          <w:rFonts w:hint="eastAsia" w:eastAsia="宋体"/>
          <w:lang w:val="en-US" w:eastAsia="zh-CN"/>
        </w:rPr>
      </w:pPr>
      <w:r>
        <w:rPr>
          <w:rFonts w:hint="eastAsia" w:cs="宋体"/>
          <w:bCs/>
          <w:kern w:val="2"/>
          <w:sz w:val="24"/>
          <w:szCs w:val="24"/>
          <w:lang w:val="en-US" w:eastAsia="zh-CN"/>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方正大标宋简体"/>
    <w:panose1 w:val="02010600030101010101"/>
    <w:charset w:val="86"/>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AF0D9"/>
    <w:multiLevelType w:val="singleLevel"/>
    <w:tmpl w:val="C7AAF0D9"/>
    <w:lvl w:ilvl="0" w:tentative="0">
      <w:start w:val="3"/>
      <w:numFmt w:val="decimal"/>
      <w:suff w:val="nothing"/>
      <w:lvlText w:val="（%1）"/>
      <w:lvlJc w:val="left"/>
    </w:lvl>
  </w:abstractNum>
  <w:abstractNum w:abstractNumId="1">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E7"/>
    <w:rsid w:val="00400231"/>
    <w:rsid w:val="00DD7BE7"/>
    <w:rsid w:val="00F4020F"/>
    <w:rsid w:val="191813FA"/>
    <w:rsid w:val="195A3AD2"/>
    <w:rsid w:val="1EB26BE1"/>
    <w:rsid w:val="213C4FE1"/>
    <w:rsid w:val="228E2702"/>
    <w:rsid w:val="23A12C1A"/>
    <w:rsid w:val="2A13794D"/>
    <w:rsid w:val="2FD37776"/>
    <w:rsid w:val="4EB23642"/>
    <w:rsid w:val="67FB1A84"/>
    <w:rsid w:val="6E5A5C7A"/>
    <w:rsid w:val="727C256B"/>
    <w:rsid w:val="7B142451"/>
    <w:rsid w:val="FF5CB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link w:val="17"/>
    <w:qFormat/>
    <w:uiPriority w:val="99"/>
    <w:pPr>
      <w:jc w:val="left"/>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3">
    <w:name w:val="annotation reference"/>
    <w:qFormat/>
    <w:uiPriority w:val="99"/>
    <w:rPr>
      <w:sz w:val="21"/>
      <w:szCs w:val="21"/>
    </w:rPr>
  </w:style>
  <w:style w:type="character" w:customStyle="1" w:styleId="14">
    <w:name w:val="页眉 字符"/>
    <w:basedOn w:val="12"/>
    <w:link w:val="10"/>
    <w:qFormat/>
    <w:uiPriority w:val="99"/>
    <w:rPr>
      <w:sz w:val="18"/>
      <w:szCs w:val="18"/>
    </w:rPr>
  </w:style>
  <w:style w:type="character" w:customStyle="1" w:styleId="15">
    <w:name w:val="页脚 字符"/>
    <w:basedOn w:val="12"/>
    <w:link w:val="9"/>
    <w:qFormat/>
    <w:uiPriority w:val="99"/>
    <w:rPr>
      <w:sz w:val="18"/>
      <w:szCs w:val="18"/>
    </w:rPr>
  </w:style>
  <w:style w:type="character" w:customStyle="1" w:styleId="16">
    <w:name w:val="批注文字 字符"/>
    <w:basedOn w:val="12"/>
    <w:semiHidden/>
    <w:qFormat/>
    <w:uiPriority w:val="99"/>
    <w:rPr>
      <w:rFonts w:ascii="Times New Roman" w:hAnsi="Times New Roman" w:eastAsia="宋体" w:cs="Times New Roman"/>
      <w:szCs w:val="24"/>
    </w:rPr>
  </w:style>
  <w:style w:type="character" w:customStyle="1" w:styleId="17">
    <w:name w:val="批注文字 字符1"/>
    <w:link w:val="7"/>
    <w:qFormat/>
    <w:uiPriority w:val="99"/>
    <w:rPr>
      <w:rFonts w:ascii="Times New Roman" w:hAnsi="Times New Roman" w:eastAsia="宋体" w:cs="Times New Roman"/>
      <w:szCs w:val="24"/>
    </w:rPr>
  </w:style>
  <w:style w:type="character" w:customStyle="1" w:styleId="18">
    <w:name w:val="font11"/>
    <w:qFormat/>
    <w:uiPriority w:val="0"/>
    <w:rPr>
      <w:rFonts w:hint="default" w:ascii="Arial" w:hAnsi="Arial" w:cs="Arial"/>
      <w:color w:val="000000"/>
      <w:sz w:val="20"/>
      <w:szCs w:val="20"/>
      <w:u w:val="none"/>
    </w:rPr>
  </w:style>
  <w:style w:type="character" w:customStyle="1" w:styleId="19">
    <w:name w:val="font121"/>
    <w:qFormat/>
    <w:uiPriority w:val="0"/>
    <w:rPr>
      <w:rFonts w:hint="eastAsia" w:ascii="宋体" w:hAnsi="宋体" w:eastAsia="宋体" w:cs="宋体"/>
      <w:b/>
      <w:color w:val="000000"/>
      <w:sz w:val="21"/>
      <w:szCs w:val="21"/>
      <w:u w:val="none"/>
    </w:rPr>
  </w:style>
  <w:style w:type="character" w:customStyle="1" w:styleId="20">
    <w:name w:val="font51"/>
    <w:qFormat/>
    <w:uiPriority w:val="0"/>
    <w:rPr>
      <w:rFonts w:hint="eastAsia" w:ascii="宋体" w:hAnsi="宋体" w:eastAsia="宋体" w:cs="宋体"/>
      <w:color w:val="000000"/>
      <w:sz w:val="21"/>
      <w:szCs w:val="21"/>
      <w:u w:val="none"/>
    </w:rPr>
  </w:style>
  <w:style w:type="paragraph" w:customStyle="1" w:styleId="21">
    <w:name w:val="样式 标题 1 + 四号 居中 段前: 12 磅 段后: 12 磅 行距: 单倍行距"/>
    <w:basedOn w:val="4"/>
    <w:qFormat/>
    <w:uiPriority w:val="0"/>
    <w:pPr>
      <w:spacing w:before="240" w:after="240" w:line="240" w:lineRule="auto"/>
      <w:ind w:left="-288"/>
      <w:jc w:val="center"/>
    </w:pPr>
    <w:rPr>
      <w:rFonts w:cs="宋体"/>
      <w:sz w:val="28"/>
      <w:szCs w:val="20"/>
    </w:rPr>
  </w:style>
  <w:style w:type="paragraph" w:customStyle="1" w:styleId="22">
    <w:name w:val="标书正文"/>
    <w:basedOn w:val="1"/>
    <w:qFormat/>
    <w:uiPriority w:val="0"/>
    <w:pPr>
      <w:suppressAutoHyphens/>
      <w:adjustRightInd/>
      <w:spacing w:line="360" w:lineRule="auto"/>
      <w:ind w:firstLine="200" w:firstLineChars="200"/>
      <w:jc w:val="both"/>
      <w:textAlignment w:val="auto"/>
    </w:pPr>
    <w:rPr>
      <w:rFonts w:ascii="Calibri" w:hAnsi="Calibri"/>
      <w:kern w:val="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295</Words>
  <Characters>1688</Characters>
  <Lines>14</Lines>
  <Paragraphs>3</Paragraphs>
  <TotalTime>0</TotalTime>
  <ScaleCrop>false</ScaleCrop>
  <LinksUpToDate>false</LinksUpToDate>
  <CharactersWithSpaces>1980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2025-05-30T14:32:00Z</dcterms:created>
  <dc:creator>Admin</dc:creator>
  <cp:lastModifiedBy>bjzx</cp:lastModifiedBy>
  <dcterms:modified xsi:type="dcterms:W3CDTF">2026-01-12T15:57:30Z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EA23C7D1A82486DC6AA96469385B1568</vt:lpwstr>
  </property>
</Properties>
</file>